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45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9"/>
        <w:gridCol w:w="6465"/>
        <w:gridCol w:w="5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Lundi 1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8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mai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grammaire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(20 min*)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Le Complément d’Objet Direct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>visionner attentivement le document suivant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LienInternet"/>
                  <w:b w:val="false"/>
                  <w:bCs w:val="false"/>
                  <w:sz w:val="20"/>
                  <w:szCs w:val="20"/>
                </w:rPr>
                <w:t>https://lesfondamentaux.reseau-canope.fr/discipline/langue-francaise/grammaire/les-fonctions-du-nom-propre-du-groupe-nominal-ou-du-pronom/le-complement-dobjet-direct.html</w:t>
              </w:r>
            </w:hyperlink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 xml:space="preserve">lire la leçon sur la fiche et faire l’exercice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i w:val="false"/>
                <w:i w:val="false"/>
                <w:iCs w:val="false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 xml:space="preserve">Ordinateur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i w:val="false"/>
                <w:i w:val="false"/>
                <w:iCs w:val="false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i w:val="false"/>
                <w:i w:val="false"/>
                <w:iCs w:val="false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r>
              <w:rPr>
                <w:color w:val="4472C4" w:themeColor="accent5"/>
                <w:sz w:val="28"/>
                <w:szCs w:val="28"/>
              </w:rPr>
              <w:t>30</w:t>
            </w:r>
            <w:r>
              <w:rPr>
                <w:color w:val="4472C4" w:themeColor="accent5"/>
                <w:sz w:val="28"/>
                <w:szCs w:val="28"/>
              </w:rPr>
              <w:t xml:space="preserve"> min*)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la division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- calcul mental (document audio)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</w:rPr>
              <w:t xml:space="preserve">leçon : vérifier une division en faisant une multiplication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</w:rPr>
              <w:t>n 3 p 79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9" w:type="dxa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Géographie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Les grandes villes françaises (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3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Les paysages urbains : la ville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- lire la leçon </w:t>
            </w:r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  <w:t>et observer la carte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- </w:t>
            </w:r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  <w:t>Compléter le tableau et la carte.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562" w:type="dxa"/>
            <w:gridSpan w:val="2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>fiche</w:t>
            </w:r>
            <w:r>
              <w:rPr>
                <w:b/>
                <w:bCs/>
                <w:i/>
                <w:sz w:val="24"/>
                <w:szCs w:val="24"/>
              </w:rPr>
              <w:t>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lecture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Lire le chapitre 3 Le Petit Nicolas 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-lecture partie 1 : Le Bouillon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>Fiche le Petit Nicolas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fondamentaux.reseau-canope.fr/discipline/langue-francaise/grammaire/les-fonctions-du-nom-propre-du-groupe-nominal-ou-du-pronom/le-complement-dobjet-direct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Application>LibreOffice/5.2.4.2$Windows_x86 LibreOffice_project/3d5603e1122f0f102b62521720ab13a38a4e0eb0</Application>
  <Pages>1</Pages>
  <Words>110</Words>
  <Characters>704</Characters>
  <CharactersWithSpaces>794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2020-05-16T11:06:58Z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